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DC" w:rsidRPr="007F46DC" w:rsidRDefault="007F46DC" w:rsidP="007F46D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F4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F4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950/2012</w:t>
      </w:r>
    </w:p>
    <w:bookmarkEnd w:id="0"/>
    <w:p w:rsidR="007F46DC" w:rsidRPr="007F46DC" w:rsidRDefault="007F46DC" w:rsidP="007F4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46DC" w:rsidRPr="007F46DC" w:rsidRDefault="007F46DC" w:rsidP="007F46D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“DECRETA LUTO OFICIAL POR TRÊS DIAS NAS REPARTIÇÕES PÚBLICAS MUNICIPAIS.” </w:t>
      </w:r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F46D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F4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</w:t>
      </w:r>
      <w:r w:rsidRPr="007F4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Fica declarado </w:t>
      </w:r>
      <w:r w:rsidRPr="007F4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luto oficial</w:t>
      </w:r>
      <w:r w:rsidRPr="007F4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03 (três) dias nas repartições públicas municipais, em homenagem à Sra. </w:t>
      </w:r>
      <w:r w:rsidRPr="007F4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Maria Pereira dos Anjos</w:t>
      </w:r>
      <w:r w:rsidRPr="007F46DC">
        <w:rPr>
          <w:rFonts w:ascii="Times New Roman" w:eastAsia="Times New Roman" w:hAnsi="Times New Roman" w:cs="Times New Roman"/>
          <w:sz w:val="24"/>
          <w:szCs w:val="24"/>
          <w:lang w:eastAsia="pt-BR"/>
        </w:rPr>
        <w:t>, pioneira do Município, falecida nesta data.</w:t>
      </w:r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7F46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 em vigor na data de sua assinatura e será publicado no Diário Oficial do Município.</w:t>
      </w:r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 DIAS DO MÊS DE JANEIRO DO ANO DE DOIS E DOZE.</w:t>
      </w:r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F46DC" w:rsidRPr="007F46DC" w:rsidRDefault="007F46DC" w:rsidP="007F4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6D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DC"/>
    <w:rsid w:val="005F497F"/>
    <w:rsid w:val="007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71ED-10B5-48D4-AA94-F9FC68E6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2016-08-12T13:17:00Z</dcterms:created>
  <dcterms:modified xsi:type="dcterms:W3CDTF">2016-08-12T13:18:00Z</dcterms:modified>
</cp:coreProperties>
</file>